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A1B80" w14:textId="77777777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-40"/>
        <w:jc w:val="center"/>
        <w:rPr>
          <w:rFonts w:ascii="Titillium Web" w:eastAsia="Times New Roman" w:hAnsi="Titillium Web" w:cs="Times New Roman"/>
          <w:color w:val="002060"/>
          <w:sz w:val="19"/>
          <w:szCs w:val="19"/>
        </w:rPr>
      </w:pPr>
      <w:r w:rsidRPr="007B1B53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7B1B53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IPARTIMENTO PER LA </w:t>
      </w:r>
      <w:r w:rsidRPr="007B1B53">
        <w:rPr>
          <w:rFonts w:ascii="Titillium Web" w:eastAsia="Times New Roman" w:hAnsi="Titillium Web" w:cs="Times New Roman"/>
          <w:color w:val="002060"/>
          <w:sz w:val="28"/>
          <w:szCs w:val="28"/>
        </w:rPr>
        <w:t>T</w:t>
      </w:r>
      <w:r w:rsidRPr="007B1B53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RASFORMAZIONE </w:t>
      </w:r>
      <w:r w:rsidRPr="007B1B53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7B1B53">
        <w:rPr>
          <w:rFonts w:ascii="Titillium Web" w:eastAsia="Times New Roman" w:hAnsi="Titillium Web" w:cs="Times New Roman"/>
          <w:color w:val="002060"/>
          <w:sz w:val="19"/>
          <w:szCs w:val="19"/>
        </w:rPr>
        <w:t>IGITALE</w:t>
      </w:r>
    </w:p>
    <w:p w14:paraId="1E0DB6BF" w14:textId="77777777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36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</w:pPr>
      <w:r w:rsidRPr="007B1B53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U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NITÀ DI 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M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ISSIONE 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PNRR – S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ERVIZIO 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3</w:t>
      </w:r>
    </w:p>
    <w:p w14:paraId="0F288E8A" w14:textId="77777777" w:rsidR="0090187D" w:rsidRPr="007B1B53" w:rsidRDefault="0090187D" w:rsidP="0090187D">
      <w:pPr>
        <w:autoSpaceDE w:val="0"/>
        <w:autoSpaceDN w:val="0"/>
        <w:adjustRightInd w:val="0"/>
        <w:spacing w:line="36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 xml:space="preserve">Verifiche del raggiungimento delle M&amp;T al </w:t>
      </w:r>
      <w:r w:rsidRPr="007F47B5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lang w:eastAsia="it-IT"/>
        </w:rPr>
        <w:t>__________</w:t>
      </w:r>
    </w:p>
    <w:p w14:paraId="21F0ECBF" w14:textId="5219317C" w:rsidR="0090187D" w:rsidRPr="007B1B53" w:rsidRDefault="0090187D" w:rsidP="0090187D">
      <w:pPr>
        <w:autoSpaceDE w:val="0"/>
        <w:autoSpaceDN w:val="0"/>
        <w:adjustRightInd w:val="0"/>
        <w:spacing w:line="36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lang w:eastAsia="it-IT"/>
        </w:rPr>
        <w:t xml:space="preserve">[inserire </w:t>
      </w:r>
      <w:r w:rsidR="00373658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lang w:eastAsia="it-IT"/>
        </w:rPr>
        <w:t>codice e descrizione M/T</w:t>
      </w: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lang w:eastAsia="it-IT"/>
        </w:rPr>
        <w:t>]</w:t>
      </w:r>
    </w:p>
    <w:p w14:paraId="32B72019" w14:textId="77777777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VERBALE DI </w:t>
      </w: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CAMPIONAMENTO o SELEZIONE]</w:t>
      </w: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 DELLE OPERAZIONI DA SOTTOPORRE A CONTROLLO</w:t>
      </w:r>
    </w:p>
    <w:p w14:paraId="36572837" w14:textId="77777777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after="240" w:line="280" w:lineRule="auto"/>
        <w:ind w:right="-40"/>
        <w:jc w:val="center"/>
        <w:rPr>
          <w:rFonts w:ascii="Titillium Web" w:eastAsia="Times New Roman" w:hAnsi="Titillium Web" w:cs="Times New Roman"/>
          <w:b/>
          <w:color w:val="002060"/>
          <w:szCs w:val="24"/>
          <w:u w:val="single"/>
        </w:rPr>
      </w:pPr>
      <w:r w:rsidRPr="007B1B53">
        <w:rPr>
          <w:rFonts w:ascii="Titillium Web" w:eastAsia="Times New Roman" w:hAnsi="Titillium Web" w:cs="Times New Roman"/>
          <w:b/>
          <w:color w:val="002060"/>
          <w:szCs w:val="24"/>
          <w:highlight w:val="lightGray"/>
          <w:u w:val="single"/>
        </w:rPr>
        <w:t>[inserire Codice verbale]</w:t>
      </w:r>
    </w:p>
    <w:p w14:paraId="48AE843F" w14:textId="77777777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80" w:lineRule="auto"/>
        <w:ind w:right="-40"/>
        <w:jc w:val="center"/>
        <w:rPr>
          <w:rFonts w:ascii="Titillium Web" w:eastAsia="Times New Roman" w:hAnsi="Titillium Web" w:cs="Times New Roman"/>
          <w:color w:val="333333"/>
        </w:rPr>
      </w:pPr>
    </w:p>
    <w:p w14:paraId="6A143C8D" w14:textId="286EB84E" w:rsidR="0090187D" w:rsidRPr="007B1B53" w:rsidRDefault="0090187D" w:rsidP="0090187D">
      <w:pPr>
        <w:widowControl w:val="0"/>
        <w:spacing w:line="360" w:lineRule="auto"/>
        <w:jc w:val="both"/>
        <w:rPr>
          <w:rFonts w:ascii="Titillium Web" w:eastAsia="Times New Roman" w:hAnsi="Titillium Web" w:cs="Times New Roman"/>
        </w:rPr>
      </w:pPr>
      <w:r w:rsidRPr="007B1B53">
        <w:rPr>
          <w:rFonts w:ascii="Titillium Web" w:eastAsia="Times New Roman" w:hAnsi="Titillium Web" w:cs="Times New Roman"/>
        </w:rPr>
        <w:t xml:space="preserve">In data </w:t>
      </w:r>
      <w:r w:rsidRPr="00373658">
        <w:rPr>
          <w:rFonts w:ascii="Titillium Web" w:eastAsia="Times New Roman" w:hAnsi="Titillium Web" w:cs="Times New Roman"/>
          <w:highlight w:val="lightGray"/>
        </w:rPr>
        <w:t>________,</w:t>
      </w:r>
      <w:r w:rsidRPr="007B1B53">
        <w:rPr>
          <w:rFonts w:ascii="Titillium Web" w:eastAsia="Times New Roman" w:hAnsi="Titillium Web" w:cs="Times New Roman"/>
        </w:rPr>
        <w:t xml:space="preserve"> in modalità </w:t>
      </w:r>
      <w:r w:rsidRPr="007B1B53">
        <w:rPr>
          <w:rFonts w:ascii="Titillium Web" w:eastAsia="Times New Roman" w:hAnsi="Titillium Web" w:cs="Times New Roman"/>
          <w:i/>
          <w:iCs/>
        </w:rPr>
        <w:t>video conference</w:t>
      </w:r>
      <w:r w:rsidRPr="007B1B53">
        <w:rPr>
          <w:rFonts w:ascii="Titillium Web" w:eastAsia="Times New Roman" w:hAnsi="Titillium Web" w:cs="Times New Roman"/>
        </w:rPr>
        <w:t xml:space="preserve">, al fine di garantire il controllo sostanziale nell’ambito del </w:t>
      </w:r>
      <w:r w:rsidRPr="007B1B53">
        <w:rPr>
          <w:rFonts w:ascii="Titillium Web" w:eastAsia="Times New Roman" w:hAnsi="Titillium Web" w:cs="Times New Roman"/>
          <w:highlight w:val="lightGray"/>
        </w:rPr>
        <w:t>[inserire Target o Milestone]</w:t>
      </w:r>
      <w:r w:rsidRPr="007B1B53">
        <w:rPr>
          <w:rFonts w:ascii="Titillium Web" w:eastAsia="Times New Roman" w:hAnsi="Titillium Web" w:cs="Times New Roman"/>
        </w:rPr>
        <w:t xml:space="preserve"> </w:t>
      </w:r>
      <w:r w:rsidRPr="007B1B53">
        <w:rPr>
          <w:rFonts w:ascii="Titillium Web" w:eastAsia="Times New Roman" w:hAnsi="Titillium Web" w:cs="Times New Roman"/>
          <w:highlight w:val="lightGray"/>
        </w:rPr>
        <w:t>[inserire n. Target o Milestone]</w:t>
      </w:r>
      <w:r w:rsidRPr="007B1B53">
        <w:rPr>
          <w:rFonts w:ascii="Titillium Web" w:eastAsia="Times New Roman" w:hAnsi="Titillium Web" w:cs="Times New Roman"/>
        </w:rPr>
        <w:t xml:space="preserve"> </w:t>
      </w:r>
      <w:r w:rsidR="00373658">
        <w:rPr>
          <w:rFonts w:ascii="Titillium Web" w:eastAsia="Times New Roman" w:hAnsi="Titillium Web" w:cs="Times New Roman"/>
        </w:rPr>
        <w:t>in scadenza al</w:t>
      </w:r>
      <w:r w:rsidRPr="007B1B53">
        <w:rPr>
          <w:rFonts w:ascii="Titillium Web" w:eastAsia="Times New Roman" w:hAnsi="Titillium Web" w:cs="Times New Roman"/>
        </w:rPr>
        <w:t xml:space="preserve"> </w:t>
      </w:r>
      <w:r w:rsidRPr="007B1B53">
        <w:rPr>
          <w:rFonts w:ascii="Titillium Web" w:eastAsia="Times New Roman" w:hAnsi="Titillium Web" w:cs="Times New Roman"/>
          <w:highlight w:val="lightGray"/>
        </w:rPr>
        <w:t>[inserire periodo di riferimento]</w:t>
      </w:r>
      <w:r w:rsidRPr="007B1B53">
        <w:rPr>
          <w:rFonts w:ascii="Titillium Web" w:eastAsia="Times New Roman" w:hAnsi="Titillium Web" w:cs="Times New Roman"/>
        </w:rPr>
        <w:t xml:space="preserve">, si è proceduto alla selezione delle operazioni/procedure oggetto di verifica, nell’ambito dell’investimento </w:t>
      </w:r>
      <w:r w:rsidRPr="007B1B53">
        <w:rPr>
          <w:rFonts w:ascii="Titillium Web" w:eastAsia="Times New Roman" w:hAnsi="Titillium Web" w:cs="Times New Roman"/>
          <w:highlight w:val="lightGray"/>
        </w:rPr>
        <w:t>[inserire n. e descrizione investimento]</w:t>
      </w:r>
      <w:r w:rsidRPr="007B1B53">
        <w:rPr>
          <w:rFonts w:ascii="Titillium Web" w:eastAsia="Times New Roman" w:hAnsi="Titillium Web" w:cs="Times New Roman"/>
        </w:rPr>
        <w:t xml:space="preserve">. </w:t>
      </w:r>
    </w:p>
    <w:p w14:paraId="4F6855DD" w14:textId="77777777" w:rsidR="00BB74DE" w:rsidRDefault="00BB74DE" w:rsidP="00BB74DE">
      <w:pPr>
        <w:spacing w:before="120" w:after="0" w:line="240" w:lineRule="auto"/>
        <w:jc w:val="both"/>
        <w:rPr>
          <w:rFonts w:ascii="Titillium Web" w:hAnsi="Titillium Web"/>
          <w:szCs w:val="24"/>
        </w:rPr>
      </w:pPr>
      <w:r w:rsidRPr="0077177F">
        <w:rPr>
          <w:rFonts w:ascii="Titillium Web" w:hAnsi="Titillium Web"/>
          <w:szCs w:val="24"/>
        </w:rPr>
        <w:t xml:space="preserve">Di seguito gli elementi distintivi del </w:t>
      </w:r>
      <w:r>
        <w:rPr>
          <w:rFonts w:ascii="Titillium Web" w:hAnsi="Titillium Web"/>
          <w:szCs w:val="24"/>
        </w:rPr>
        <w:t>Target</w:t>
      </w:r>
      <w:r w:rsidRPr="0077177F">
        <w:rPr>
          <w:rFonts w:ascii="Titillium Web" w:hAnsi="Titillium Web"/>
          <w:szCs w:val="24"/>
        </w:rPr>
        <w:t xml:space="preserve"> oggetto di controllo sostanziale.</w:t>
      </w:r>
    </w:p>
    <w:tbl>
      <w:tblPr>
        <w:tblpPr w:leftFromText="141" w:rightFromText="141" w:vertAnchor="text" w:horzAnchor="margin" w:tblpY="375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988"/>
        <w:gridCol w:w="850"/>
        <w:gridCol w:w="851"/>
        <w:gridCol w:w="2126"/>
        <w:gridCol w:w="3260"/>
        <w:gridCol w:w="1985"/>
      </w:tblGrid>
      <w:tr w:rsidR="00BB74DE" w14:paraId="2F33C8C6" w14:textId="77777777" w:rsidTr="00016795">
        <w:trPr>
          <w:trHeight w:val="694"/>
        </w:trPr>
        <w:tc>
          <w:tcPr>
            <w:tcW w:w="988" w:type="dxa"/>
            <w:shd w:val="clear" w:color="auto" w:fill="C1E4F5" w:themeFill="accent1" w:themeFillTint="33"/>
            <w:vAlign w:val="center"/>
          </w:tcPr>
          <w:p w14:paraId="70B2D3CD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Misura</w:t>
            </w: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17745B7B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Tipologia</w:t>
            </w:r>
          </w:p>
        </w:tc>
        <w:tc>
          <w:tcPr>
            <w:tcW w:w="851" w:type="dxa"/>
            <w:shd w:val="clear" w:color="auto" w:fill="C1E4F5" w:themeFill="accent1" w:themeFillTint="33"/>
            <w:vAlign w:val="center"/>
          </w:tcPr>
          <w:p w14:paraId="65E648D6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Codice</w:t>
            </w:r>
          </w:p>
        </w:tc>
        <w:tc>
          <w:tcPr>
            <w:tcW w:w="2126" w:type="dxa"/>
            <w:shd w:val="clear" w:color="auto" w:fill="C1E4F5" w:themeFill="accent1" w:themeFillTint="33"/>
            <w:vAlign w:val="center"/>
          </w:tcPr>
          <w:p w14:paraId="4E851AB3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Denominazione M/T</w:t>
            </w:r>
          </w:p>
        </w:tc>
        <w:tc>
          <w:tcPr>
            <w:tcW w:w="3260" w:type="dxa"/>
            <w:shd w:val="clear" w:color="auto" w:fill="C1E4F5" w:themeFill="accent1" w:themeFillTint="33"/>
            <w:vAlign w:val="center"/>
          </w:tcPr>
          <w:p w14:paraId="635E2083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Descrizione M/T o Interim step</w:t>
            </w:r>
          </w:p>
        </w:tc>
        <w:tc>
          <w:tcPr>
            <w:tcW w:w="1985" w:type="dxa"/>
            <w:shd w:val="clear" w:color="auto" w:fill="C1E4F5" w:themeFill="accent1" w:themeFillTint="33"/>
            <w:vAlign w:val="center"/>
          </w:tcPr>
          <w:p w14:paraId="2D12397A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Indicatori qualitativi (M) o quantitativi (T)</w:t>
            </w:r>
          </w:p>
        </w:tc>
      </w:tr>
      <w:tr w:rsidR="00BB74DE" w14:paraId="18F5A0E8" w14:textId="77777777" w:rsidTr="00016795">
        <w:trPr>
          <w:trHeight w:val="841"/>
        </w:trPr>
        <w:tc>
          <w:tcPr>
            <w:tcW w:w="988" w:type="dxa"/>
            <w:vAlign w:val="center"/>
          </w:tcPr>
          <w:p w14:paraId="70AA2A65" w14:textId="2AA07346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B29560F" w14:textId="3DB6D89A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BD7508C" w14:textId="425B2568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5E39CF31" w14:textId="68EF60A2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6ACE7DD0" w14:textId="28B5FE74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0EBD8DCD" w14:textId="056C5999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</w:tr>
    </w:tbl>
    <w:p w14:paraId="0ECCC6C7" w14:textId="40F1D83D" w:rsidR="002D18BA" w:rsidRPr="007139D9" w:rsidRDefault="002D18BA" w:rsidP="002D18BA">
      <w:pPr>
        <w:spacing w:before="240"/>
        <w:jc w:val="both"/>
        <w:rPr>
          <w:b/>
        </w:rPr>
      </w:pPr>
      <w:r w:rsidRPr="000D1635">
        <w:rPr>
          <w:rFonts w:ascii="Titillium Web" w:hAnsi="Titillium Web"/>
          <w:color w:val="000000" w:themeColor="text1"/>
          <w:szCs w:val="24"/>
        </w:rPr>
        <w:t xml:space="preserve">L’individuazione della metodologia di campionamento delle procedure da sottoporre a verifica sostanziale è avvenuta in coerenza con le modalità previste nella vigente versione del “Manuale dei Controlli per le verifiche sulle operazioni e a supporto della rendicontazione semestrale di Milestone e Target” </w:t>
      </w:r>
      <w:r>
        <w:rPr>
          <w:rFonts w:ascii="Titillium Web" w:hAnsi="Titillium Web"/>
          <w:color w:val="000000" w:themeColor="text1"/>
          <w:szCs w:val="24"/>
        </w:rPr>
        <w:t xml:space="preserve">approvato con decreto </w:t>
      </w:r>
      <w:r w:rsidRPr="002D18BA">
        <w:rPr>
          <w:rFonts w:ascii="Titillium Web" w:hAnsi="Titillium Web"/>
          <w:color w:val="000000" w:themeColor="text1"/>
          <w:szCs w:val="24"/>
          <w:highlight w:val="lightGray"/>
        </w:rPr>
        <w:t>[estremi</w:t>
      </w:r>
      <w:r>
        <w:rPr>
          <w:rFonts w:ascii="Titillium Web" w:hAnsi="Titillium Web"/>
          <w:color w:val="000000" w:themeColor="text1"/>
          <w:szCs w:val="24"/>
          <w:highlight w:val="lightGray"/>
        </w:rPr>
        <w:t xml:space="preserve"> del decreto</w:t>
      </w:r>
      <w:r w:rsidRPr="002D18BA">
        <w:rPr>
          <w:rFonts w:ascii="Titillium Web" w:hAnsi="Titillium Web"/>
          <w:color w:val="000000" w:themeColor="text1"/>
          <w:szCs w:val="24"/>
          <w:highlight w:val="lightGray"/>
        </w:rPr>
        <w:t>]</w:t>
      </w:r>
      <w:r w:rsidRPr="000D1635">
        <w:rPr>
          <w:rFonts w:ascii="Titillium Web" w:hAnsi="Titillium Web"/>
          <w:color w:val="000000" w:themeColor="text1"/>
          <w:szCs w:val="24"/>
        </w:rPr>
        <w:t>, tenendo conto dei seguenti aspetti</w:t>
      </w:r>
      <w:r w:rsidRPr="007139D9">
        <w:t>:</w:t>
      </w:r>
    </w:p>
    <w:p w14:paraId="60F2769D" w14:textId="77777777" w:rsidR="002D18BA" w:rsidRPr="007139D9" w:rsidRDefault="002D18BA" w:rsidP="002D18BA">
      <w:pPr>
        <w:pStyle w:val="Paragrafoelenco"/>
        <w:numPr>
          <w:ilvl w:val="0"/>
          <w:numId w:val="5"/>
        </w:numPr>
        <w:spacing w:before="0" w:after="160" w:line="259" w:lineRule="auto"/>
        <w:jc w:val="both"/>
        <w:rPr>
          <w:rFonts w:ascii="Titillium Web" w:hAnsi="Titillium Web"/>
          <w:szCs w:val="24"/>
        </w:rPr>
      </w:pPr>
      <w:r w:rsidRPr="007139D9">
        <w:rPr>
          <w:rFonts w:ascii="Titillium Web" w:hAnsi="Titillium Web"/>
          <w:szCs w:val="24"/>
        </w:rPr>
        <w:t>definizione dell’universo campionabile;</w:t>
      </w:r>
    </w:p>
    <w:p w14:paraId="50BD5953" w14:textId="52FFA290" w:rsidR="002D18BA" w:rsidRPr="007139D9" w:rsidRDefault="002D18BA" w:rsidP="002D18BA">
      <w:pPr>
        <w:pStyle w:val="Paragrafoelenco"/>
        <w:numPr>
          <w:ilvl w:val="0"/>
          <w:numId w:val="5"/>
        </w:numPr>
        <w:spacing w:before="0" w:after="160" w:line="259" w:lineRule="auto"/>
        <w:jc w:val="both"/>
        <w:rPr>
          <w:rFonts w:ascii="Titillium Web" w:hAnsi="Titillium Web"/>
          <w:szCs w:val="24"/>
        </w:rPr>
      </w:pPr>
      <w:r w:rsidRPr="007139D9">
        <w:rPr>
          <w:rFonts w:ascii="Titillium Web" w:hAnsi="Titillium Web"/>
          <w:szCs w:val="24"/>
        </w:rPr>
        <w:t xml:space="preserve">definizione del numero di operazioni da sottoporre a verifica </w:t>
      </w:r>
      <w:r w:rsidRPr="002D18BA">
        <w:rPr>
          <w:rFonts w:ascii="Titillium Web" w:hAnsi="Titillium Web"/>
          <w:i/>
          <w:iCs/>
          <w:szCs w:val="24"/>
        </w:rPr>
        <w:t xml:space="preserve">on </w:t>
      </w:r>
      <w:r w:rsidRPr="007139D9">
        <w:rPr>
          <w:rFonts w:ascii="Titillium Web" w:hAnsi="Titillium Web"/>
          <w:i/>
          <w:iCs/>
          <w:szCs w:val="24"/>
        </w:rPr>
        <w:t>desk</w:t>
      </w:r>
      <w:r w:rsidRPr="007139D9">
        <w:rPr>
          <w:rFonts w:ascii="Titillium Web" w:hAnsi="Titillium Web"/>
          <w:szCs w:val="24"/>
        </w:rPr>
        <w:t xml:space="preserve"> amministrativo-contabile;</w:t>
      </w:r>
    </w:p>
    <w:p w14:paraId="0B189B66" w14:textId="77777777" w:rsidR="002D18BA" w:rsidRPr="007139D9" w:rsidRDefault="002D18BA" w:rsidP="002D18BA">
      <w:pPr>
        <w:pStyle w:val="Paragrafoelenco"/>
        <w:numPr>
          <w:ilvl w:val="0"/>
          <w:numId w:val="5"/>
        </w:numPr>
        <w:spacing w:before="0" w:after="160" w:line="259" w:lineRule="auto"/>
        <w:jc w:val="both"/>
        <w:rPr>
          <w:rFonts w:ascii="Titillium Web" w:hAnsi="Titillium Web"/>
          <w:szCs w:val="24"/>
        </w:rPr>
      </w:pPr>
      <w:r w:rsidRPr="007139D9">
        <w:rPr>
          <w:rFonts w:ascii="Titillium Web" w:hAnsi="Titillium Web"/>
          <w:szCs w:val="24"/>
        </w:rPr>
        <w:lastRenderedPageBreak/>
        <w:t>estrazione delle operazioni relative a elementi attuativi collegati;</w:t>
      </w:r>
    </w:p>
    <w:p w14:paraId="4A0E4E27" w14:textId="77777777" w:rsidR="002D18BA" w:rsidRPr="007139D9" w:rsidRDefault="002D18BA" w:rsidP="002D18BA">
      <w:pPr>
        <w:pStyle w:val="Paragrafoelenco"/>
        <w:numPr>
          <w:ilvl w:val="0"/>
          <w:numId w:val="5"/>
        </w:numPr>
        <w:spacing w:before="0" w:after="160" w:line="259" w:lineRule="auto"/>
        <w:jc w:val="both"/>
        <w:rPr>
          <w:rFonts w:ascii="Titillium Web" w:hAnsi="Titillium Web"/>
          <w:szCs w:val="24"/>
        </w:rPr>
      </w:pPr>
      <w:r w:rsidRPr="007139D9">
        <w:rPr>
          <w:rFonts w:ascii="Titillium Web" w:hAnsi="Titillium Web"/>
          <w:szCs w:val="24"/>
        </w:rPr>
        <w:t xml:space="preserve">eventuali integrazioni approvate dal Coordinatore </w:t>
      </w:r>
      <w:r>
        <w:rPr>
          <w:rFonts w:ascii="Titillium Web" w:hAnsi="Titillium Web"/>
          <w:szCs w:val="24"/>
        </w:rPr>
        <w:t>del Servizio 3</w:t>
      </w:r>
      <w:r w:rsidRPr="007139D9">
        <w:rPr>
          <w:rFonts w:ascii="Titillium Web" w:hAnsi="Titillium Web"/>
          <w:szCs w:val="24"/>
        </w:rPr>
        <w:t>;</w:t>
      </w:r>
    </w:p>
    <w:p w14:paraId="21D90D8E" w14:textId="77777777" w:rsidR="002D18BA" w:rsidRPr="007139D9" w:rsidRDefault="002D18BA" w:rsidP="002D18BA">
      <w:pPr>
        <w:pStyle w:val="Paragrafoelenco"/>
        <w:numPr>
          <w:ilvl w:val="0"/>
          <w:numId w:val="5"/>
        </w:numPr>
        <w:spacing w:before="0" w:after="160" w:line="259" w:lineRule="auto"/>
        <w:jc w:val="both"/>
        <w:rPr>
          <w:rFonts w:ascii="Titillium Web" w:hAnsi="Titillium Web"/>
          <w:szCs w:val="24"/>
        </w:rPr>
      </w:pPr>
      <w:r w:rsidRPr="007139D9">
        <w:rPr>
          <w:rFonts w:ascii="Titillium Web" w:hAnsi="Titillium Web"/>
          <w:szCs w:val="24"/>
        </w:rPr>
        <w:t>verifica assenza di contenziosi per la definizione della popolazione.</w:t>
      </w:r>
    </w:p>
    <w:p w14:paraId="453CAF5A" w14:textId="7DAC24CF" w:rsidR="0090187D" w:rsidRDefault="000A14B7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both"/>
        <w:rPr>
          <w:rFonts w:ascii="Titillium Web" w:eastAsia="Times New Roman" w:hAnsi="Titillium Web" w:cs="Times New Roman"/>
          <w:b/>
          <w:bCs/>
          <w:color w:val="002060"/>
        </w:rPr>
      </w:pPr>
      <w:r w:rsidRPr="000A14B7">
        <w:rPr>
          <w:rFonts w:ascii="Titillium Web" w:eastAsia="Times New Roman" w:hAnsi="Titillium Web" w:cs="Times New Roman"/>
          <w:b/>
          <w:bCs/>
          <w:color w:val="002060"/>
        </w:rPr>
        <w:t>DESCRIZIONE DELLA METODOLOGIA DI CAMPIONAMENTO</w:t>
      </w:r>
    </w:p>
    <w:p w14:paraId="32099CF7" w14:textId="77777777" w:rsidR="000A14B7" w:rsidRDefault="000A14B7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both"/>
        <w:rPr>
          <w:rFonts w:ascii="Titillium Web" w:eastAsia="Times New Roman" w:hAnsi="Titillium Web" w:cs="Times New Roman"/>
          <w:b/>
          <w:bCs/>
          <w:color w:val="002060"/>
        </w:rPr>
      </w:pPr>
    </w:p>
    <w:p w14:paraId="190121EB" w14:textId="0A270E5A" w:rsidR="0090187D" w:rsidRDefault="004979F1" w:rsidP="0090187D">
      <w:pPr>
        <w:widowControl w:val="0"/>
        <w:spacing w:line="360" w:lineRule="auto"/>
        <w:jc w:val="both"/>
        <w:rPr>
          <w:rFonts w:ascii="Titillium Web" w:eastAsia="Times New Roman" w:hAnsi="Titillium Web" w:cs="Times New Roman"/>
          <w:b/>
          <w:bCs/>
          <w:color w:val="002060"/>
        </w:rPr>
      </w:pPr>
      <w:r w:rsidRPr="004979F1">
        <w:rPr>
          <w:rFonts w:ascii="Titillium Web" w:eastAsia="Times New Roman" w:hAnsi="Titillium Web" w:cs="Times New Roman"/>
          <w:b/>
          <w:bCs/>
          <w:color w:val="002060"/>
        </w:rPr>
        <w:t>DEFINIZIONE DELLE VARIABILI PER IL CAMPIONAMENTO E SELEZIONE DEL CAMPIONE</w:t>
      </w:r>
    </w:p>
    <w:p w14:paraId="09320F92" w14:textId="77777777" w:rsidR="004979F1" w:rsidRDefault="004979F1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9" w:line="240" w:lineRule="auto"/>
        <w:rPr>
          <w:rFonts w:ascii="Titillium Web" w:eastAsia="Times New Roman" w:hAnsi="Titillium Web" w:cs="Times New Roman"/>
          <w:color w:val="000000" w:themeColor="text1"/>
        </w:rPr>
      </w:pPr>
    </w:p>
    <w:p w14:paraId="77DAFB2E" w14:textId="4C29C33E" w:rsidR="004979F1" w:rsidRDefault="0000766F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9" w:line="240" w:lineRule="auto"/>
        <w:rPr>
          <w:rFonts w:ascii="Titillium Web" w:eastAsia="Times New Roman" w:hAnsi="Titillium Web" w:cs="Times New Roman"/>
          <w:color w:val="000000" w:themeColor="text1"/>
        </w:rPr>
      </w:pPr>
      <w:r w:rsidRPr="0000766F">
        <w:rPr>
          <w:rFonts w:ascii="Titillium Web" w:eastAsia="Times New Roman" w:hAnsi="Titillium Web" w:cs="Times New Roman"/>
          <w:b/>
          <w:bCs/>
          <w:color w:val="002060"/>
        </w:rPr>
        <w:t>RIEPILOGO DELLE OPERAZIONI SELEZIONATE</w:t>
      </w:r>
    </w:p>
    <w:p w14:paraId="71575FFA" w14:textId="77777777" w:rsidR="004979F1" w:rsidRDefault="004979F1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9" w:line="240" w:lineRule="auto"/>
        <w:rPr>
          <w:rFonts w:ascii="Titillium Web" w:eastAsia="Times New Roman" w:hAnsi="Titillium Web" w:cs="Times New Roman"/>
          <w:color w:val="000000" w:themeColor="text1"/>
        </w:rPr>
      </w:pPr>
    </w:p>
    <w:p w14:paraId="45037BBA" w14:textId="77777777" w:rsidR="0000766F" w:rsidRDefault="0000766F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9" w:line="240" w:lineRule="auto"/>
        <w:rPr>
          <w:rFonts w:ascii="Titillium Web" w:eastAsia="Times New Roman" w:hAnsi="Titillium Web" w:cs="Times New Roman"/>
          <w:color w:val="000000" w:themeColor="text1"/>
        </w:rPr>
      </w:pPr>
    </w:p>
    <w:p w14:paraId="5B7EFC3A" w14:textId="7A132E1B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9" w:line="240" w:lineRule="auto"/>
        <w:rPr>
          <w:rFonts w:ascii="Titillium Web" w:eastAsia="Times New Roman" w:hAnsi="Titillium Web" w:cs="Times New Roman"/>
          <w:color w:val="000000" w:themeColor="text1"/>
        </w:rPr>
      </w:pPr>
      <w:r w:rsidRPr="007B1B53">
        <w:rPr>
          <w:rFonts w:ascii="Titillium Web" w:eastAsia="Times New Roman" w:hAnsi="Titillium Web" w:cs="Times New Roman"/>
          <w:color w:val="000000" w:themeColor="text1"/>
        </w:rPr>
        <w:t>Roma,</w:t>
      </w:r>
      <w:r w:rsidRPr="00F65F1F"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244D1A">
        <w:rPr>
          <w:rFonts w:ascii="Titillium Web" w:eastAsia="Times New Roman" w:hAnsi="Titillium Web" w:cs="Times New Roman"/>
          <w:color w:val="000000" w:themeColor="text1"/>
        </w:rPr>
        <w:t>______________</w:t>
      </w:r>
    </w:p>
    <w:p w14:paraId="374067B0" w14:textId="77777777" w:rsidR="00D9365B" w:rsidRPr="00244D1A" w:rsidRDefault="00D9365B" w:rsidP="002E34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91" w:lineRule="auto"/>
        <w:ind w:right="210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</w:p>
    <w:p w14:paraId="0F1513A5" w14:textId="77ADEBA6" w:rsidR="00D9365B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Il Responsabile del Servizio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 Funzionari incaricati delle attività</w:t>
      </w:r>
    </w:p>
    <w:p w14:paraId="735139FF" w14:textId="01BA124A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p w14:paraId="55F91C4D" w14:textId="77777777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3D90583E" w14:textId="55D037F7" w:rsidR="002E348A" w:rsidRP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ab/>
      </w:r>
      <w:r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sectPr w:rsidR="002E348A" w:rsidRPr="002E348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D84E9" w14:textId="77777777" w:rsidR="007D036A" w:rsidRDefault="007D036A" w:rsidP="0090187D">
      <w:pPr>
        <w:spacing w:before="0" w:after="0" w:line="240" w:lineRule="auto"/>
      </w:pPr>
      <w:r>
        <w:separator/>
      </w:r>
    </w:p>
  </w:endnote>
  <w:endnote w:type="continuationSeparator" w:id="0">
    <w:p w14:paraId="6F38D61C" w14:textId="77777777" w:rsidR="007D036A" w:rsidRDefault="007D036A" w:rsidP="009018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931F8" w14:textId="77777777" w:rsidR="007D036A" w:rsidRDefault="007D036A" w:rsidP="0090187D">
      <w:pPr>
        <w:spacing w:before="0" w:after="0" w:line="240" w:lineRule="auto"/>
      </w:pPr>
      <w:r>
        <w:separator/>
      </w:r>
    </w:p>
  </w:footnote>
  <w:footnote w:type="continuationSeparator" w:id="0">
    <w:p w14:paraId="42F1B1DE" w14:textId="77777777" w:rsidR="007D036A" w:rsidRDefault="007D036A" w:rsidP="0090187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90187D" w14:paraId="7047EDF9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7BCE470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4A74D6C" wp14:editId="7151E67F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49463E8" w14:textId="77777777" w:rsidR="0090187D" w:rsidRDefault="0090187D" w:rsidP="0090187D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E04942A" wp14:editId="40B4FD0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2BC99AE4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A5BD36D" wp14:editId="2FCAED4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1268534" w14:textId="77777777" w:rsidR="0090187D" w:rsidRDefault="009018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F4DD0"/>
    <w:multiLevelType w:val="hybridMultilevel"/>
    <w:tmpl w:val="CF5449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96145">
    <w:abstractNumId w:val="2"/>
  </w:num>
  <w:num w:numId="2" w16cid:durableId="879316164">
    <w:abstractNumId w:val="3"/>
  </w:num>
  <w:num w:numId="3" w16cid:durableId="1421948334">
    <w:abstractNumId w:val="4"/>
  </w:num>
  <w:num w:numId="4" w16cid:durableId="574125400">
    <w:abstractNumId w:val="0"/>
  </w:num>
  <w:num w:numId="5" w16cid:durableId="552472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0766F"/>
    <w:rsid w:val="000A14B7"/>
    <w:rsid w:val="00152A86"/>
    <w:rsid w:val="00290904"/>
    <w:rsid w:val="002A12FF"/>
    <w:rsid w:val="002D18BA"/>
    <w:rsid w:val="002E348A"/>
    <w:rsid w:val="00373658"/>
    <w:rsid w:val="00431668"/>
    <w:rsid w:val="004979F1"/>
    <w:rsid w:val="00567DAB"/>
    <w:rsid w:val="005E4277"/>
    <w:rsid w:val="00793FA2"/>
    <w:rsid w:val="007D036A"/>
    <w:rsid w:val="007F47B5"/>
    <w:rsid w:val="0090187D"/>
    <w:rsid w:val="00A22C5F"/>
    <w:rsid w:val="00BB74DE"/>
    <w:rsid w:val="00BC29E7"/>
    <w:rsid w:val="00D9365B"/>
    <w:rsid w:val="00EB1302"/>
    <w:rsid w:val="00F1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F86FB8-9DC8-451E-9882-11FB3980DD3C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712612BD-FBFE-435D-AA5F-0EB1257D3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E2430-C844-4F85-A05E-2D50273598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Giuliano Montelucci</cp:lastModifiedBy>
  <cp:revision>11</cp:revision>
  <dcterms:created xsi:type="dcterms:W3CDTF">2026-04-07T06:40:00Z</dcterms:created>
  <dcterms:modified xsi:type="dcterms:W3CDTF">2026-04-09T14:50:00Z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